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CRITERION 1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05"/>
        <w:gridCol w:w="7755"/>
        <w:tblGridChange w:id="0">
          <w:tblGrid>
            <w:gridCol w:w="1605"/>
            <w:gridCol w:w="77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Metric Number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Description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1.1.1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PO, PSO,CO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1.1.1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Syllabus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1.1.1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Minutes of Board of Studies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1.1.2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Syllabus revision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1.1.3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Courses having focus on employability/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entrepreneurship/ skill development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1.2.1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New courses Introduced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1.2.2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Courses in which Choice Based Credit System (CBCS) / Elective Course System has been implemented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1.3.1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Gender, Environment and sustainability, Human values and Professional ethics in the curriculum Cross Cutting Syllabus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1.3.2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Value - added courses imparting transferable and life skills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1.3.3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Number of students enrolled in the above courses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1.3.4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Students undertaking Field Projects/ Internships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1.4.1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Feedback from students/teachers/alumni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1.4.2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212529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color w:val="212529"/>
                <w:sz w:val="23"/>
                <w:szCs w:val="23"/>
                <w:highlight w:val="white"/>
                <w:rtl w:val="0"/>
              </w:rPr>
              <w:t xml:space="preserve">Action taken report</w:t>
            </w:r>
          </w:p>
        </w:tc>
      </w:tr>
    </w:tbl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